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53" w:rsidRPr="009064AB" w:rsidRDefault="00616353" w:rsidP="00616353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B">
        <w:rPr>
          <w:rFonts w:ascii="Times New Roman" w:hAnsi="Times New Roman" w:cs="Times New Roman"/>
          <w:b/>
          <w:sz w:val="24"/>
          <w:szCs w:val="24"/>
        </w:rPr>
        <w:t>Духовность</w:t>
      </w:r>
    </w:p>
    <w:p w:rsidR="0045365B" w:rsidRPr="009064AB" w:rsidRDefault="004005D7" w:rsidP="004005D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4AB">
        <w:rPr>
          <w:rFonts w:ascii="Times New Roman" w:hAnsi="Times New Roman" w:cs="Times New Roman"/>
          <w:sz w:val="24"/>
          <w:szCs w:val="24"/>
        </w:rPr>
        <w:t xml:space="preserve">С 2010 года в улусе объявлено двухлетие Духовности, во всех образовательных учреждениях, в рамках учебных программ введены Уроки Духовности. В рамках двухлетия Духовности дан старт улусному конкурсу «Лучший класс года». В 2014-2015 учебном году среди старших классов </w:t>
      </w:r>
      <w:r w:rsidR="002444E2" w:rsidRPr="009064AB">
        <w:rPr>
          <w:rFonts w:ascii="Times New Roman" w:hAnsi="Times New Roman" w:cs="Times New Roman"/>
          <w:sz w:val="24"/>
          <w:szCs w:val="24"/>
        </w:rPr>
        <w:t>победил коллектив 9 класса МБОУ «</w:t>
      </w:r>
      <w:proofErr w:type="spellStart"/>
      <w:r w:rsidR="002444E2" w:rsidRPr="009064AB"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 w:rsidR="002444E2" w:rsidRPr="009064AB">
        <w:rPr>
          <w:rFonts w:ascii="Times New Roman" w:hAnsi="Times New Roman" w:cs="Times New Roman"/>
          <w:sz w:val="24"/>
          <w:szCs w:val="24"/>
        </w:rPr>
        <w:t xml:space="preserve"> улусная гимназия», среди учащихся среднего звена МБОУ «</w:t>
      </w:r>
      <w:proofErr w:type="spellStart"/>
      <w:r w:rsidR="002444E2" w:rsidRPr="009064AB">
        <w:rPr>
          <w:rFonts w:ascii="Times New Roman" w:hAnsi="Times New Roman" w:cs="Times New Roman"/>
          <w:sz w:val="24"/>
          <w:szCs w:val="24"/>
        </w:rPr>
        <w:t>Джикимдинская</w:t>
      </w:r>
      <w:proofErr w:type="spellEnd"/>
      <w:r w:rsidR="002444E2" w:rsidRPr="009064AB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2444E2" w:rsidRPr="009064AB">
        <w:rPr>
          <w:rFonts w:ascii="Times New Roman" w:hAnsi="Times New Roman" w:cs="Times New Roman"/>
          <w:sz w:val="24"/>
          <w:szCs w:val="24"/>
        </w:rPr>
        <w:t>Софр.П</w:t>
      </w:r>
      <w:proofErr w:type="spellEnd"/>
      <w:r w:rsidR="002444E2" w:rsidRPr="009064AB">
        <w:rPr>
          <w:rFonts w:ascii="Times New Roman" w:hAnsi="Times New Roman" w:cs="Times New Roman"/>
          <w:sz w:val="24"/>
          <w:szCs w:val="24"/>
        </w:rPr>
        <w:t>. Данилова», среди начальных классов МБОУ «</w:t>
      </w:r>
      <w:proofErr w:type="spellStart"/>
      <w:r w:rsidR="002444E2" w:rsidRPr="009064AB"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 w:rsidR="002444E2" w:rsidRPr="009064A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С.П. Данилова». С 1 января 2015 года среди общеобразовательных учреждений улуса проводится улусный Смотр по духовно-нравственному воспитанию детей. Смотр проводится по 5 направлениям: хоровое пение, дебаты, литературный бал, выразительное чтение</w:t>
      </w:r>
      <w:r w:rsidR="00A93D21" w:rsidRPr="009064AB">
        <w:rPr>
          <w:rFonts w:ascii="Times New Roman" w:hAnsi="Times New Roman" w:cs="Times New Roman"/>
          <w:sz w:val="24"/>
          <w:szCs w:val="24"/>
        </w:rPr>
        <w:t xml:space="preserve"> стихов и внеклассное чтение. По итогам 1 полугодия уже подведены предварительные итоги. С 1 сентября Смотр будет проводиться среди дошкольных образовательных учреждений.  </w:t>
      </w:r>
      <w:r w:rsidR="002444E2" w:rsidRPr="00906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353" w:rsidRPr="009064AB" w:rsidRDefault="00616353" w:rsidP="0045365B">
      <w:pPr>
        <w:ind w:left="141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65B" w:rsidRPr="009064AB" w:rsidRDefault="0045365B" w:rsidP="0045365B">
      <w:pPr>
        <w:ind w:left="141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AB">
        <w:rPr>
          <w:rFonts w:ascii="Times New Roman" w:hAnsi="Times New Roman" w:cs="Times New Roman"/>
          <w:b/>
          <w:sz w:val="24"/>
          <w:szCs w:val="24"/>
        </w:rPr>
        <w:t>Строительство объектов образования</w:t>
      </w:r>
    </w:p>
    <w:p w:rsidR="0045365B" w:rsidRPr="009064AB" w:rsidRDefault="0045365B" w:rsidP="0045365B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4A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365B" w:rsidRPr="009064AB" w:rsidRDefault="0045365B" w:rsidP="00991C0F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4AB">
        <w:rPr>
          <w:rFonts w:ascii="Times New Roman" w:hAnsi="Times New Roman" w:cs="Times New Roman"/>
          <w:sz w:val="24"/>
          <w:szCs w:val="24"/>
        </w:rPr>
        <w:t xml:space="preserve">       </w:t>
      </w:r>
      <w:r w:rsidR="00991C0F" w:rsidRPr="009064AB">
        <w:rPr>
          <w:rFonts w:ascii="Times New Roman" w:hAnsi="Times New Roman" w:cs="Times New Roman"/>
          <w:sz w:val="24"/>
          <w:szCs w:val="24"/>
        </w:rPr>
        <w:t>Ввод нового детского сада на 70 мест в с.</w:t>
      </w:r>
      <w:r w:rsidR="00A93D21" w:rsidRPr="00906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C0F" w:rsidRPr="009064AB">
        <w:rPr>
          <w:rFonts w:ascii="Times New Roman" w:hAnsi="Times New Roman" w:cs="Times New Roman"/>
          <w:sz w:val="24"/>
          <w:szCs w:val="24"/>
        </w:rPr>
        <w:t>Бясь-Кюель</w:t>
      </w:r>
      <w:proofErr w:type="spellEnd"/>
      <w:r w:rsidR="00B5489D" w:rsidRPr="009064AB">
        <w:rPr>
          <w:rFonts w:ascii="Times New Roman" w:hAnsi="Times New Roman" w:cs="Times New Roman"/>
          <w:sz w:val="24"/>
          <w:szCs w:val="24"/>
        </w:rPr>
        <w:t>, 4</w:t>
      </w:r>
      <w:r w:rsidR="00A93D21" w:rsidRPr="009064AB">
        <w:rPr>
          <w:rFonts w:ascii="Times New Roman" w:hAnsi="Times New Roman" w:cs="Times New Roman"/>
          <w:sz w:val="24"/>
          <w:szCs w:val="24"/>
        </w:rPr>
        <w:t>.11.2015г.</w:t>
      </w:r>
    </w:p>
    <w:p w:rsidR="0045365B" w:rsidRPr="009064AB" w:rsidRDefault="0045365B" w:rsidP="00A93D21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4AB">
        <w:rPr>
          <w:rFonts w:ascii="Times New Roman" w:hAnsi="Times New Roman" w:cs="Times New Roman"/>
          <w:sz w:val="24"/>
          <w:szCs w:val="24"/>
        </w:rPr>
        <w:tab/>
      </w:r>
      <w:r w:rsidR="00A93D21" w:rsidRPr="009064AB">
        <w:rPr>
          <w:rFonts w:ascii="Times New Roman" w:hAnsi="Times New Roman" w:cs="Times New Roman"/>
          <w:sz w:val="24"/>
          <w:szCs w:val="24"/>
        </w:rPr>
        <w:t>В 2015 году планируется завершить строительство МБОУ «</w:t>
      </w:r>
      <w:proofErr w:type="spellStart"/>
      <w:r w:rsidR="00A93D21" w:rsidRPr="009064AB">
        <w:rPr>
          <w:rFonts w:ascii="Times New Roman" w:hAnsi="Times New Roman" w:cs="Times New Roman"/>
          <w:sz w:val="24"/>
          <w:szCs w:val="24"/>
        </w:rPr>
        <w:t>Магарасская</w:t>
      </w:r>
      <w:proofErr w:type="spellEnd"/>
      <w:r w:rsidR="00A93D21" w:rsidRPr="009064A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A93D21" w:rsidRPr="009064AB">
        <w:rPr>
          <w:rFonts w:ascii="Times New Roman" w:hAnsi="Times New Roman" w:cs="Times New Roman"/>
          <w:sz w:val="24"/>
          <w:szCs w:val="24"/>
        </w:rPr>
        <w:t>им.Л.Н</w:t>
      </w:r>
      <w:proofErr w:type="spellEnd"/>
      <w:r w:rsidR="00A93D21" w:rsidRPr="009064AB">
        <w:rPr>
          <w:rFonts w:ascii="Times New Roman" w:hAnsi="Times New Roman" w:cs="Times New Roman"/>
          <w:sz w:val="24"/>
          <w:szCs w:val="24"/>
        </w:rPr>
        <w:t>. Харитонова» на 170 мест и МБОУ «</w:t>
      </w:r>
      <w:proofErr w:type="spellStart"/>
      <w:r w:rsidR="00A93D21" w:rsidRPr="009064AB">
        <w:rPr>
          <w:rFonts w:ascii="Times New Roman" w:hAnsi="Times New Roman" w:cs="Times New Roman"/>
          <w:sz w:val="24"/>
          <w:szCs w:val="24"/>
        </w:rPr>
        <w:t>Маганинская</w:t>
      </w:r>
      <w:proofErr w:type="spellEnd"/>
      <w:r w:rsidR="00A93D21" w:rsidRPr="009064A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A93D21" w:rsidRPr="009064AB">
        <w:rPr>
          <w:rFonts w:ascii="Times New Roman" w:hAnsi="Times New Roman" w:cs="Times New Roman"/>
          <w:sz w:val="24"/>
          <w:szCs w:val="24"/>
        </w:rPr>
        <w:t>им.С.И</w:t>
      </w:r>
      <w:proofErr w:type="spellEnd"/>
      <w:r w:rsidR="00A93D21" w:rsidRPr="009064AB">
        <w:rPr>
          <w:rFonts w:ascii="Times New Roman" w:hAnsi="Times New Roman" w:cs="Times New Roman"/>
          <w:sz w:val="24"/>
          <w:szCs w:val="24"/>
        </w:rPr>
        <w:t>. Тимофеева-</w:t>
      </w:r>
      <w:proofErr w:type="spellStart"/>
      <w:r w:rsidR="00A93D21" w:rsidRPr="009064AB">
        <w:rPr>
          <w:rFonts w:ascii="Times New Roman" w:hAnsi="Times New Roman" w:cs="Times New Roman"/>
          <w:sz w:val="24"/>
          <w:szCs w:val="24"/>
        </w:rPr>
        <w:t>Кустуктаанап</w:t>
      </w:r>
      <w:proofErr w:type="spellEnd"/>
      <w:r w:rsidR="00A93D21" w:rsidRPr="009064AB">
        <w:rPr>
          <w:rFonts w:ascii="Times New Roman" w:hAnsi="Times New Roman" w:cs="Times New Roman"/>
          <w:sz w:val="24"/>
          <w:szCs w:val="24"/>
        </w:rPr>
        <w:t xml:space="preserve">» на 90 мест. </w:t>
      </w:r>
    </w:p>
    <w:p w:rsidR="00A93D21" w:rsidRPr="009064AB" w:rsidRDefault="00A93D21" w:rsidP="00A93D21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4AB">
        <w:rPr>
          <w:rFonts w:ascii="Times New Roman" w:hAnsi="Times New Roman" w:cs="Times New Roman"/>
          <w:sz w:val="24"/>
          <w:szCs w:val="24"/>
        </w:rPr>
        <w:tab/>
        <w:t xml:space="preserve">Проведена проектно-сметная работа по строительству детских садов на 50 мест в с. </w:t>
      </w:r>
      <w:proofErr w:type="spellStart"/>
      <w:r w:rsidRPr="009064AB">
        <w:rPr>
          <w:rFonts w:ascii="Times New Roman" w:hAnsi="Times New Roman" w:cs="Times New Roman"/>
          <w:sz w:val="24"/>
          <w:szCs w:val="24"/>
        </w:rPr>
        <w:t>Дикимдя</w:t>
      </w:r>
      <w:proofErr w:type="spellEnd"/>
      <w:r w:rsidRPr="009064A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9064AB">
        <w:rPr>
          <w:rFonts w:ascii="Times New Roman" w:hAnsi="Times New Roman" w:cs="Times New Roman"/>
          <w:sz w:val="24"/>
          <w:szCs w:val="24"/>
        </w:rPr>
        <w:t>Орто-Сурт</w:t>
      </w:r>
      <w:proofErr w:type="spellEnd"/>
      <w:r w:rsidR="00B5489D" w:rsidRPr="009064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65B" w:rsidRPr="009064AB" w:rsidRDefault="0045365B" w:rsidP="00E372B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65B" w:rsidRPr="009064AB" w:rsidRDefault="0045365B" w:rsidP="00E372B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65B" w:rsidRPr="009064AB" w:rsidRDefault="0045365B" w:rsidP="00E372B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65B" w:rsidRPr="009064AB" w:rsidRDefault="0045365B" w:rsidP="00E372B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65B" w:rsidRPr="009064AB" w:rsidRDefault="0045365B" w:rsidP="00E372B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65B" w:rsidRPr="009064AB" w:rsidRDefault="0045365B" w:rsidP="00E372B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65B" w:rsidRPr="009064AB" w:rsidRDefault="0045365B" w:rsidP="00E372B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65B" w:rsidRPr="009064AB" w:rsidRDefault="0045365B" w:rsidP="00991C0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D21" w:rsidRPr="009064AB" w:rsidRDefault="00A93D21" w:rsidP="00991C0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4AB" w:rsidRPr="009064AB" w:rsidRDefault="009064AB" w:rsidP="00991C0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4AB" w:rsidRPr="009064AB" w:rsidRDefault="009F1C8B" w:rsidP="009064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4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 w:rsidR="005A5561" w:rsidRPr="009064AB">
        <w:rPr>
          <w:rFonts w:ascii="Times New Roman" w:hAnsi="Times New Roman" w:cs="Times New Roman"/>
          <w:b/>
          <w:sz w:val="24"/>
          <w:szCs w:val="24"/>
        </w:rPr>
        <w:t>о системе образования Горного улуса</w:t>
      </w:r>
    </w:p>
    <w:p w:rsidR="009064AB" w:rsidRPr="009064AB" w:rsidRDefault="007B5FEB" w:rsidP="009064A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4AB">
        <w:rPr>
          <w:rFonts w:ascii="Times New Roman" w:hAnsi="Times New Roman" w:cs="Times New Roman"/>
          <w:sz w:val="24"/>
          <w:szCs w:val="24"/>
        </w:rPr>
        <w:t>В</w:t>
      </w:r>
      <w:r w:rsidR="00AA79D7" w:rsidRPr="009064AB">
        <w:rPr>
          <w:rFonts w:ascii="Times New Roman" w:hAnsi="Times New Roman" w:cs="Times New Roman"/>
          <w:sz w:val="24"/>
          <w:szCs w:val="24"/>
        </w:rPr>
        <w:t xml:space="preserve"> </w:t>
      </w:r>
      <w:r w:rsidR="005A5561" w:rsidRPr="009064AB">
        <w:rPr>
          <w:rFonts w:ascii="Times New Roman" w:hAnsi="Times New Roman" w:cs="Times New Roman"/>
          <w:sz w:val="24"/>
          <w:szCs w:val="24"/>
        </w:rPr>
        <w:t>Горном улусе функционирует 11 об</w:t>
      </w:r>
      <w:r w:rsidR="00D26A23" w:rsidRPr="009064AB">
        <w:rPr>
          <w:rFonts w:ascii="Times New Roman" w:hAnsi="Times New Roman" w:cs="Times New Roman"/>
          <w:sz w:val="24"/>
          <w:szCs w:val="24"/>
        </w:rPr>
        <w:t>щеобразовательных учреждений, 16</w:t>
      </w:r>
      <w:r w:rsidR="005A5561" w:rsidRPr="009064AB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учреждений, 3 учреждения дополнительно</w:t>
      </w:r>
      <w:r w:rsidR="00991C0F" w:rsidRPr="009064AB">
        <w:rPr>
          <w:rFonts w:ascii="Times New Roman" w:hAnsi="Times New Roman" w:cs="Times New Roman"/>
          <w:sz w:val="24"/>
          <w:szCs w:val="24"/>
        </w:rPr>
        <w:t>го образования детей (ДЮСШ, ЦДО</w:t>
      </w:r>
      <w:r w:rsidR="005A5561" w:rsidRPr="009064AB">
        <w:rPr>
          <w:rFonts w:ascii="Times New Roman" w:hAnsi="Times New Roman" w:cs="Times New Roman"/>
          <w:sz w:val="24"/>
          <w:szCs w:val="24"/>
        </w:rPr>
        <w:t xml:space="preserve">, ДШИ). </w:t>
      </w:r>
    </w:p>
    <w:p w:rsidR="00D40D47" w:rsidRPr="009064AB" w:rsidRDefault="00D40D47" w:rsidP="00E372B9">
      <w:pPr>
        <w:ind w:left="2124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AB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D26A23" w:rsidRPr="009064AB" w:rsidRDefault="00D0195B" w:rsidP="00D26A2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64AB">
        <w:rPr>
          <w:rFonts w:ascii="Times New Roman" w:eastAsia="Times New Roman" w:hAnsi="Times New Roman" w:cs="Times New Roman"/>
          <w:sz w:val="24"/>
          <w:szCs w:val="24"/>
          <w:lang w:bidi="en-US"/>
        </w:rPr>
        <w:t>В системе дошкольного образования</w:t>
      </w:r>
      <w:r w:rsidR="00D26A23" w:rsidRPr="009064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состоянию на 1 сентября 2015 года</w:t>
      </w:r>
      <w:r w:rsidRPr="009064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26A23" w:rsidRPr="009064AB">
        <w:rPr>
          <w:rFonts w:ascii="Times New Roman" w:eastAsia="Times New Roman" w:hAnsi="Times New Roman" w:cs="Times New Roman"/>
          <w:sz w:val="24"/>
          <w:szCs w:val="24"/>
          <w:lang w:bidi="en-US"/>
        </w:rPr>
        <w:t>функционируют 16</w:t>
      </w:r>
      <w:r w:rsidR="007B5FEB" w:rsidRPr="009064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064AB">
        <w:rPr>
          <w:rFonts w:ascii="Times New Roman" w:eastAsia="Times New Roman" w:hAnsi="Times New Roman" w:cs="Times New Roman"/>
          <w:sz w:val="24"/>
          <w:szCs w:val="24"/>
          <w:lang w:bidi="en-US"/>
        </w:rPr>
        <w:t>дошколь</w:t>
      </w:r>
      <w:r w:rsidR="007B5FEB" w:rsidRPr="009064AB">
        <w:rPr>
          <w:rFonts w:ascii="Times New Roman" w:eastAsia="Times New Roman" w:hAnsi="Times New Roman" w:cs="Times New Roman"/>
          <w:sz w:val="24"/>
          <w:szCs w:val="24"/>
          <w:lang w:bidi="en-US"/>
        </w:rPr>
        <w:t>ных образовательных учреждений,</w:t>
      </w:r>
      <w:r w:rsidRPr="009064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обеспечивающих воспитание, обучение и развитие, присмотр и уход детей от 1 до 7 лет</w:t>
      </w:r>
      <w:r w:rsidR="00D26A23" w:rsidRPr="009064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Число мест в дошкольных образовательных учреждениях составляет 1165 места, группы в основном компенсирующей направленности. Существует группа оздоровительной и группа компенсирующей направленности, где реализуется инклюзивный подход. Из 16 учреждений находятся в типовых зданиях – 5, остальные функционируют в приспособленных зданиях. </w:t>
      </w:r>
    </w:p>
    <w:p w:rsidR="009064AB" w:rsidRPr="009064AB" w:rsidRDefault="009064AB" w:rsidP="00D26A2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64AB">
        <w:rPr>
          <w:rFonts w:ascii="Times New Roman" w:eastAsia="Times New Roman" w:hAnsi="Times New Roman" w:cs="Times New Roman"/>
          <w:sz w:val="24"/>
          <w:szCs w:val="24"/>
          <w:lang w:bidi="en-US"/>
        </w:rPr>
        <w:t>По проекту «Партнерство» (с обязательным условием привязки к ГКП дошкольным учреждениям) охвачены 40 детей: 20 мест</w:t>
      </w:r>
      <w:r w:rsidR="007633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</w:t>
      </w:r>
      <w:r w:rsidRPr="009064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ИП Баишев</w:t>
      </w:r>
      <w:bookmarkStart w:id="0" w:name="_GoBack"/>
      <w:bookmarkEnd w:id="0"/>
      <w:r w:rsidRPr="009064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П.В., 10 мест</w:t>
      </w:r>
      <w:r w:rsidR="007633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</w:t>
      </w:r>
      <w:r w:rsidRPr="009064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ИП Максимов В.А., 10 мест </w:t>
      </w:r>
      <w:r w:rsidR="007633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9064AB">
        <w:rPr>
          <w:rFonts w:ascii="Times New Roman" w:eastAsia="Times New Roman" w:hAnsi="Times New Roman" w:cs="Times New Roman"/>
          <w:sz w:val="24"/>
          <w:szCs w:val="24"/>
          <w:lang w:bidi="en-US"/>
        </w:rPr>
        <w:t>ИП Сивце</w:t>
      </w:r>
      <w:r w:rsidR="007633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ва Н.Н. </w:t>
      </w:r>
    </w:p>
    <w:p w:rsidR="00D26A23" w:rsidRPr="009064AB" w:rsidRDefault="00D26A23" w:rsidP="00D26A2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4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состоянию на 1 сентября 2015 года численность детей по Горному улусу от 0 до 7 лет составляет 1633 ребенка, из них неорганизованных детей – 428 детей. Охват детей дошкольными учреждениями в возрасте от 3 до 7 лет составляет 84,0%. </w:t>
      </w:r>
    </w:p>
    <w:p w:rsidR="00AA79D7" w:rsidRPr="009064AB" w:rsidRDefault="00D0195B" w:rsidP="009E17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4AB">
        <w:rPr>
          <w:rFonts w:ascii="Times New Roman" w:hAnsi="Times New Roman" w:cs="Times New Roman"/>
          <w:sz w:val="24"/>
          <w:szCs w:val="24"/>
        </w:rPr>
        <w:tab/>
      </w:r>
    </w:p>
    <w:p w:rsidR="00D0195B" w:rsidRPr="009064AB" w:rsidRDefault="00AA79D7" w:rsidP="00E372B9">
      <w:pPr>
        <w:pStyle w:val="a3"/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  <w:r w:rsidRPr="009064AB">
        <w:rPr>
          <w:rFonts w:ascii="Times New Roman" w:hAnsi="Times New Roman"/>
          <w:b/>
          <w:sz w:val="24"/>
          <w:szCs w:val="24"/>
        </w:rPr>
        <w:t>Общее образование</w:t>
      </w:r>
    </w:p>
    <w:p w:rsidR="00D0195B" w:rsidRPr="009064AB" w:rsidRDefault="00AA79D7" w:rsidP="009E17B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4AB">
        <w:rPr>
          <w:rFonts w:ascii="Times New Roman" w:hAnsi="Times New Roman" w:cs="Times New Roman"/>
          <w:sz w:val="24"/>
          <w:szCs w:val="24"/>
        </w:rPr>
        <w:t>В общеобразовательных учреждениях</w:t>
      </w:r>
      <w:r w:rsidR="0084644E" w:rsidRPr="009064AB">
        <w:rPr>
          <w:rFonts w:ascii="Times New Roman" w:hAnsi="Times New Roman" w:cs="Times New Roman"/>
          <w:sz w:val="24"/>
          <w:szCs w:val="24"/>
        </w:rPr>
        <w:t xml:space="preserve"> обучается всего 19</w:t>
      </w:r>
      <w:r w:rsidR="00B5489D" w:rsidRPr="009064AB">
        <w:rPr>
          <w:rFonts w:ascii="Times New Roman" w:hAnsi="Times New Roman" w:cs="Times New Roman"/>
          <w:sz w:val="24"/>
          <w:szCs w:val="24"/>
        </w:rPr>
        <w:t>96</w:t>
      </w:r>
      <w:r w:rsidR="0084644E" w:rsidRPr="009064AB">
        <w:rPr>
          <w:rFonts w:ascii="Times New Roman" w:hAnsi="Times New Roman" w:cs="Times New Roman"/>
          <w:sz w:val="24"/>
          <w:szCs w:val="24"/>
        </w:rPr>
        <w:t xml:space="preserve"> обучающихся. В </w:t>
      </w:r>
      <w:r w:rsidR="000B4B63" w:rsidRPr="009064AB">
        <w:rPr>
          <w:rFonts w:ascii="Times New Roman" w:hAnsi="Times New Roman" w:cs="Times New Roman"/>
          <w:sz w:val="24"/>
          <w:szCs w:val="24"/>
        </w:rPr>
        <w:t>2015</w:t>
      </w:r>
      <w:r w:rsidRPr="009064AB">
        <w:rPr>
          <w:rFonts w:ascii="Times New Roman" w:hAnsi="Times New Roman" w:cs="Times New Roman"/>
          <w:sz w:val="24"/>
          <w:szCs w:val="24"/>
        </w:rPr>
        <w:t xml:space="preserve"> </w:t>
      </w:r>
      <w:r w:rsidR="0084644E" w:rsidRPr="009064AB">
        <w:rPr>
          <w:rFonts w:ascii="Times New Roman" w:hAnsi="Times New Roman" w:cs="Times New Roman"/>
          <w:sz w:val="24"/>
          <w:szCs w:val="24"/>
        </w:rPr>
        <w:t>году успеваемость составила 99,6</w:t>
      </w:r>
      <w:r w:rsidR="000B4B63" w:rsidRPr="009064AB">
        <w:rPr>
          <w:rFonts w:ascii="Times New Roman" w:hAnsi="Times New Roman" w:cs="Times New Roman"/>
          <w:sz w:val="24"/>
          <w:szCs w:val="24"/>
        </w:rPr>
        <w:t>%, а качество -47</w:t>
      </w:r>
      <w:r w:rsidRPr="009064AB">
        <w:rPr>
          <w:rFonts w:ascii="Times New Roman" w:hAnsi="Times New Roman" w:cs="Times New Roman"/>
          <w:sz w:val="24"/>
          <w:szCs w:val="24"/>
        </w:rPr>
        <w:t>%.</w:t>
      </w:r>
      <w:r w:rsidR="00855049" w:rsidRPr="009064AB">
        <w:rPr>
          <w:rFonts w:ascii="Times New Roman" w:hAnsi="Times New Roman" w:cs="Times New Roman"/>
          <w:sz w:val="24"/>
          <w:szCs w:val="24"/>
        </w:rPr>
        <w:t xml:space="preserve"> </w:t>
      </w:r>
      <w:r w:rsidR="000B4B63" w:rsidRPr="009064AB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0B4B63" w:rsidRPr="009064AB">
        <w:rPr>
          <w:rFonts w:ascii="Times New Roman" w:eastAsia="Calibri" w:hAnsi="Times New Roman" w:cs="Times New Roman"/>
          <w:sz w:val="24"/>
          <w:szCs w:val="24"/>
        </w:rPr>
        <w:t xml:space="preserve">9 выпускников получили золотые медали. Со справкой окончили школу 7 выпускников. </w:t>
      </w:r>
    </w:p>
    <w:p w:rsidR="00616353" w:rsidRPr="009064AB" w:rsidRDefault="00616353" w:rsidP="00D26A23">
      <w:pPr>
        <w:pStyle w:val="a3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187288" w:rsidRPr="009064AB" w:rsidRDefault="004400BD" w:rsidP="009E17B6">
      <w:pPr>
        <w:pStyle w:val="a3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9064AB">
        <w:rPr>
          <w:rFonts w:ascii="Times New Roman" w:eastAsia="Calibri" w:hAnsi="Times New Roman"/>
          <w:b/>
          <w:sz w:val="24"/>
          <w:szCs w:val="24"/>
        </w:rPr>
        <w:t>Организация ГИА-2015</w:t>
      </w:r>
    </w:p>
    <w:p w:rsidR="001B39C8" w:rsidRPr="009064AB" w:rsidRDefault="001B39C8" w:rsidP="001B39C8">
      <w:pPr>
        <w:pStyle w:val="a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064AB">
        <w:rPr>
          <w:rFonts w:ascii="Times New Roman" w:eastAsia="Calibri" w:hAnsi="Times New Roman"/>
          <w:sz w:val="24"/>
          <w:szCs w:val="24"/>
        </w:rPr>
        <w:tab/>
        <w:t>В 2015 году выпускников текущего года по улусу – 170, из них 11 выпускников из числа лиц с ограниченными возможностями здоровья сдали экзамены в форме выпускного экзамена (традиционного). Организовано 6 ППЭ, в том числе 4 ППЭ по бланковой технологии, 2 ППЭ</w:t>
      </w:r>
      <w:r w:rsidR="009B4695" w:rsidRPr="009064AB">
        <w:rPr>
          <w:rFonts w:ascii="Times New Roman" w:eastAsia="Calibri" w:hAnsi="Times New Roman"/>
          <w:sz w:val="24"/>
          <w:szCs w:val="24"/>
        </w:rPr>
        <w:t xml:space="preserve"> – ТОМ по технологии печать КИМ в </w:t>
      </w:r>
      <w:r w:rsidR="009B4695" w:rsidRPr="009064AB">
        <w:rPr>
          <w:rFonts w:ascii="Times New Roman" w:eastAsia="Calibri" w:hAnsi="Times New Roman"/>
          <w:sz w:val="24"/>
          <w:szCs w:val="24"/>
        </w:rPr>
        <w:lastRenderedPageBreak/>
        <w:t xml:space="preserve">аудитории. Наибольшее количество участников ЕГЭ зарегистрировано по физике – 55, по обществознанию – 53. Биологию выбрали 43 выпускника, историю сдают 17, английский язык выбрали 22, химию сдали 24, литературу – 14, информатику – 16, географию – 9 и якутский язык – 4. Математику базового уровня сдали 117, профильного уровня – 99 выпускников. </w:t>
      </w:r>
    </w:p>
    <w:p w:rsidR="009B4695" w:rsidRPr="009064AB" w:rsidRDefault="009B4695" w:rsidP="001B39C8">
      <w:pPr>
        <w:pStyle w:val="a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064AB">
        <w:rPr>
          <w:rFonts w:ascii="Times New Roman" w:eastAsia="Calibri" w:hAnsi="Times New Roman"/>
          <w:sz w:val="24"/>
          <w:szCs w:val="24"/>
        </w:rPr>
        <w:tab/>
        <w:t xml:space="preserve">Средний балл по русскому языку в 2015 году – 62,8, по математике – 40,4 балла. </w:t>
      </w:r>
    </w:p>
    <w:p w:rsidR="009B4695" w:rsidRPr="009064AB" w:rsidRDefault="009B4695" w:rsidP="001B39C8">
      <w:pPr>
        <w:pStyle w:val="a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064AB">
        <w:rPr>
          <w:rFonts w:ascii="Times New Roman" w:eastAsia="Calibri" w:hAnsi="Times New Roman"/>
          <w:sz w:val="24"/>
          <w:szCs w:val="24"/>
        </w:rPr>
        <w:tab/>
        <w:t xml:space="preserve">В 2015 году в 11 школах сдали ОГЭ 160 учащихся 9 классов. Из них 14 учащихся сдали ОГЭ в форме ГВЭ. Выбор предметов идентичен выбору выпускников 11 классов. Качество сдачи экзаменов по русскому языку – 58%, по математике – 50%. </w:t>
      </w:r>
    </w:p>
    <w:p w:rsidR="005A7758" w:rsidRPr="009064AB" w:rsidRDefault="00D0195B" w:rsidP="009E17B6">
      <w:pPr>
        <w:pStyle w:val="a3"/>
        <w:ind w:left="141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064AB">
        <w:rPr>
          <w:rFonts w:ascii="Times New Roman" w:eastAsia="Calibri" w:hAnsi="Times New Roman"/>
          <w:b/>
          <w:sz w:val="24"/>
          <w:szCs w:val="24"/>
        </w:rPr>
        <w:t>Региональный этап олимпиады</w:t>
      </w:r>
    </w:p>
    <w:p w:rsidR="00616353" w:rsidRPr="009064AB" w:rsidRDefault="003B26FD" w:rsidP="001E120F">
      <w:pPr>
        <w:pStyle w:val="a3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064AB">
        <w:rPr>
          <w:rFonts w:ascii="Times New Roman" w:eastAsia="Calibri" w:hAnsi="Times New Roman"/>
          <w:sz w:val="24"/>
          <w:szCs w:val="24"/>
        </w:rPr>
        <w:t xml:space="preserve"> </w:t>
      </w:r>
      <w:r w:rsidR="009B4695" w:rsidRPr="009064AB">
        <w:rPr>
          <w:rFonts w:ascii="Times New Roman" w:eastAsia="Calibri" w:hAnsi="Times New Roman"/>
          <w:sz w:val="24"/>
          <w:szCs w:val="24"/>
        </w:rPr>
        <w:t xml:space="preserve">В 2014-2015 учебном году было 34 </w:t>
      </w:r>
      <w:proofErr w:type="spellStart"/>
      <w:r w:rsidR="009B4695" w:rsidRPr="009064AB">
        <w:rPr>
          <w:rFonts w:ascii="Times New Roman" w:eastAsia="Calibri" w:hAnsi="Times New Roman"/>
          <w:sz w:val="24"/>
          <w:szCs w:val="24"/>
        </w:rPr>
        <w:t>суперфиналиста</w:t>
      </w:r>
      <w:proofErr w:type="spellEnd"/>
      <w:r w:rsidR="009B4695" w:rsidRPr="009064AB">
        <w:rPr>
          <w:rFonts w:ascii="Times New Roman" w:eastAsia="Calibri" w:hAnsi="Times New Roman"/>
          <w:sz w:val="24"/>
          <w:szCs w:val="24"/>
        </w:rPr>
        <w:t xml:space="preserve"> регионального этапа Всероссийской олимпиады школьников, в том числе: по математике – 3, по биологии – 4, по географии – 1, по экономике – 4, по истории – 3, по якутскому языку – 4, по физкультуре – 2, по обществознанию – 1, по черчению </w:t>
      </w:r>
      <w:r w:rsidR="001E120F" w:rsidRPr="009064AB">
        <w:rPr>
          <w:rFonts w:ascii="Times New Roman" w:eastAsia="Calibri" w:hAnsi="Times New Roman"/>
          <w:sz w:val="24"/>
          <w:szCs w:val="24"/>
        </w:rPr>
        <w:t>–</w:t>
      </w:r>
      <w:r w:rsidR="009B4695" w:rsidRPr="009064AB">
        <w:rPr>
          <w:rFonts w:ascii="Times New Roman" w:eastAsia="Calibri" w:hAnsi="Times New Roman"/>
          <w:sz w:val="24"/>
          <w:szCs w:val="24"/>
        </w:rPr>
        <w:t xml:space="preserve"> </w:t>
      </w:r>
      <w:r w:rsidR="001E120F" w:rsidRPr="009064AB">
        <w:rPr>
          <w:rFonts w:ascii="Times New Roman" w:eastAsia="Calibri" w:hAnsi="Times New Roman"/>
          <w:sz w:val="24"/>
          <w:szCs w:val="24"/>
        </w:rPr>
        <w:t xml:space="preserve">1 школьника. 3 призера по русской литературе, ОБЖ, экономике и 2 ученика получили по 100 баллов по ОБЖ. </w:t>
      </w:r>
      <w:r w:rsidR="00D0195B" w:rsidRPr="009064AB">
        <w:rPr>
          <w:rFonts w:ascii="Times New Roman" w:eastAsia="Calibri" w:hAnsi="Times New Roman"/>
          <w:sz w:val="24"/>
          <w:szCs w:val="24"/>
        </w:rPr>
        <w:t xml:space="preserve">  </w:t>
      </w:r>
    </w:p>
    <w:p w:rsidR="00855049" w:rsidRPr="009064AB" w:rsidRDefault="00855049" w:rsidP="009E17B6">
      <w:pPr>
        <w:ind w:left="2831" w:firstLine="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064AB">
        <w:rPr>
          <w:rFonts w:ascii="Times New Roman" w:hAnsi="Times New Roman" w:cs="Times New Roman"/>
          <w:b/>
          <w:sz w:val="24"/>
          <w:szCs w:val="24"/>
          <w:lang w:val="sah-RU"/>
        </w:rPr>
        <w:t>НПК “Шаг в будущее”</w:t>
      </w:r>
    </w:p>
    <w:p w:rsidR="00470986" w:rsidRPr="009064AB" w:rsidRDefault="00470986" w:rsidP="009E17B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4AB">
        <w:rPr>
          <w:rFonts w:ascii="Times New Roman" w:eastAsia="Calibri" w:hAnsi="Times New Roman" w:cs="Times New Roman"/>
          <w:sz w:val="24"/>
          <w:szCs w:val="24"/>
        </w:rPr>
        <w:t xml:space="preserve">В региональной НПК «Шаг в будущее» в </w:t>
      </w:r>
      <w:proofErr w:type="spellStart"/>
      <w:r w:rsidR="00686B97" w:rsidRPr="009064AB">
        <w:rPr>
          <w:rFonts w:ascii="Times New Roman" w:eastAsia="Calibri" w:hAnsi="Times New Roman" w:cs="Times New Roman"/>
          <w:sz w:val="24"/>
          <w:szCs w:val="24"/>
        </w:rPr>
        <w:t>Намском</w:t>
      </w:r>
      <w:proofErr w:type="spellEnd"/>
      <w:r w:rsidRPr="009064AB">
        <w:rPr>
          <w:rFonts w:ascii="Times New Roman" w:eastAsia="Calibri" w:hAnsi="Times New Roman" w:cs="Times New Roman"/>
          <w:sz w:val="24"/>
          <w:szCs w:val="24"/>
        </w:rPr>
        <w:t xml:space="preserve"> улусе приняли участие 6</w:t>
      </w:r>
      <w:r w:rsidR="00686B97" w:rsidRPr="009064AB">
        <w:rPr>
          <w:rFonts w:ascii="Times New Roman" w:eastAsia="Calibri" w:hAnsi="Times New Roman" w:cs="Times New Roman"/>
          <w:sz w:val="24"/>
          <w:szCs w:val="24"/>
        </w:rPr>
        <w:t>9</w:t>
      </w:r>
      <w:r w:rsidRPr="009064AB">
        <w:rPr>
          <w:rFonts w:ascii="Times New Roman" w:eastAsia="Calibri" w:hAnsi="Times New Roman" w:cs="Times New Roman"/>
          <w:sz w:val="24"/>
          <w:szCs w:val="24"/>
        </w:rPr>
        <w:t xml:space="preserve"> учащихся, 1</w:t>
      </w:r>
      <w:r w:rsidR="00686B97" w:rsidRPr="009064AB">
        <w:rPr>
          <w:rFonts w:ascii="Times New Roman" w:eastAsia="Calibri" w:hAnsi="Times New Roman" w:cs="Times New Roman"/>
          <w:sz w:val="24"/>
          <w:szCs w:val="24"/>
        </w:rPr>
        <w:t>5 руководителей, 15</w:t>
      </w:r>
      <w:r w:rsidRPr="009064AB">
        <w:rPr>
          <w:rFonts w:ascii="Times New Roman" w:eastAsia="Calibri" w:hAnsi="Times New Roman" w:cs="Times New Roman"/>
          <w:sz w:val="24"/>
          <w:szCs w:val="24"/>
        </w:rPr>
        <w:t xml:space="preserve"> эксп</w:t>
      </w:r>
      <w:r w:rsidR="00686B97" w:rsidRPr="009064AB">
        <w:rPr>
          <w:rFonts w:ascii="Times New Roman" w:eastAsia="Calibri" w:hAnsi="Times New Roman" w:cs="Times New Roman"/>
          <w:sz w:val="24"/>
          <w:szCs w:val="24"/>
        </w:rPr>
        <w:t>ертов. Команда Горного улуса с 5</w:t>
      </w:r>
      <w:r w:rsidRPr="009064AB">
        <w:rPr>
          <w:rFonts w:ascii="Times New Roman" w:eastAsia="Calibri" w:hAnsi="Times New Roman" w:cs="Times New Roman"/>
          <w:sz w:val="24"/>
          <w:szCs w:val="24"/>
        </w:rPr>
        <w:t xml:space="preserve"> лауреатами, </w:t>
      </w:r>
      <w:r w:rsidR="00686B97" w:rsidRPr="009064AB">
        <w:rPr>
          <w:rFonts w:ascii="Times New Roman" w:eastAsia="Calibri" w:hAnsi="Times New Roman" w:cs="Times New Roman"/>
          <w:sz w:val="24"/>
          <w:szCs w:val="24"/>
        </w:rPr>
        <w:t>6 дипломантами 1 степени, 13 дипломантами 2 степени и 7</w:t>
      </w:r>
      <w:r w:rsidRPr="009064AB">
        <w:rPr>
          <w:rFonts w:ascii="Times New Roman" w:eastAsia="Calibri" w:hAnsi="Times New Roman" w:cs="Times New Roman"/>
          <w:sz w:val="24"/>
          <w:szCs w:val="24"/>
        </w:rPr>
        <w:t xml:space="preserve"> дипломантами 3 степени названа одним из лучших в округе «Лена». </w:t>
      </w:r>
    </w:p>
    <w:p w:rsidR="009E17B6" w:rsidRPr="009064AB" w:rsidRDefault="00FB0351" w:rsidP="009E17B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4AB">
        <w:rPr>
          <w:rFonts w:ascii="Times New Roman" w:eastAsia="Calibri" w:hAnsi="Times New Roman" w:cs="Times New Roman"/>
          <w:sz w:val="24"/>
          <w:szCs w:val="24"/>
          <w:lang w:val="sah-RU"/>
        </w:rPr>
        <w:t>В респу</w:t>
      </w:r>
      <w:r w:rsidR="00470986" w:rsidRPr="009064AB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бликанской НПК приняли участие </w:t>
      </w:r>
      <w:r w:rsidR="00686B97" w:rsidRPr="009064AB">
        <w:rPr>
          <w:rFonts w:ascii="Times New Roman" w:eastAsia="Calibri" w:hAnsi="Times New Roman" w:cs="Times New Roman"/>
          <w:sz w:val="24"/>
          <w:szCs w:val="24"/>
          <w:lang w:val="sah-RU"/>
        </w:rPr>
        <w:t>52</w:t>
      </w:r>
      <w:r w:rsidR="00470986" w:rsidRPr="009064AB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работ</w:t>
      </w:r>
      <w:r w:rsidR="00686B97" w:rsidRPr="009064AB">
        <w:rPr>
          <w:rFonts w:ascii="Times New Roman" w:eastAsia="Calibri" w:hAnsi="Times New Roman" w:cs="Times New Roman"/>
          <w:sz w:val="24"/>
          <w:szCs w:val="24"/>
          <w:lang w:val="sah-RU"/>
        </w:rPr>
        <w:t>ы</w:t>
      </w:r>
      <w:r w:rsidR="00470986" w:rsidRPr="009064AB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, из них </w:t>
      </w:r>
      <w:r w:rsidR="00686B97" w:rsidRPr="009064AB">
        <w:rPr>
          <w:rFonts w:ascii="Times New Roman" w:eastAsia="Calibri" w:hAnsi="Times New Roman" w:cs="Times New Roman"/>
          <w:sz w:val="24"/>
          <w:szCs w:val="24"/>
          <w:lang w:val="sah-RU"/>
        </w:rPr>
        <w:t>17</w:t>
      </w:r>
      <w:r w:rsidRPr="009064AB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стали победителями и диплома</w:t>
      </w:r>
      <w:r w:rsidR="00470986" w:rsidRPr="009064AB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нтами конференции, </w:t>
      </w:r>
      <w:r w:rsidR="00686B97" w:rsidRPr="009064AB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в том числе дипломантом </w:t>
      </w:r>
      <w:r w:rsidR="00686B97" w:rsidRPr="009064A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686B97" w:rsidRPr="009064AB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степени – 4, </w:t>
      </w:r>
      <w:r w:rsidR="00686B97" w:rsidRPr="009064A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686B97" w:rsidRPr="009064AB">
        <w:rPr>
          <w:rFonts w:ascii="Times New Roman" w:eastAsia="Calibri" w:hAnsi="Times New Roman" w:cs="Times New Roman"/>
          <w:sz w:val="24"/>
          <w:szCs w:val="24"/>
        </w:rPr>
        <w:t xml:space="preserve"> степени – 5, </w:t>
      </w:r>
      <w:r w:rsidR="00686B97" w:rsidRPr="009064A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686B97" w:rsidRPr="009064AB">
        <w:rPr>
          <w:rFonts w:ascii="Times New Roman" w:eastAsia="Calibri" w:hAnsi="Times New Roman" w:cs="Times New Roman"/>
          <w:sz w:val="24"/>
          <w:szCs w:val="24"/>
        </w:rPr>
        <w:t xml:space="preserve"> степени – 4,  </w:t>
      </w:r>
      <w:r w:rsidR="00686B97" w:rsidRPr="009064AB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686B97" w:rsidRPr="009064AB">
        <w:rPr>
          <w:rFonts w:ascii="Times New Roman" w:eastAsia="Calibri" w:hAnsi="Times New Roman" w:cs="Times New Roman"/>
          <w:sz w:val="24"/>
          <w:szCs w:val="24"/>
        </w:rPr>
        <w:t xml:space="preserve"> степени – 4. По решению экспертной комиссии дипломанты </w:t>
      </w:r>
      <w:proofErr w:type="spellStart"/>
      <w:r w:rsidR="00686B97" w:rsidRPr="009064AB">
        <w:rPr>
          <w:rFonts w:ascii="Times New Roman" w:eastAsia="Calibri" w:hAnsi="Times New Roman" w:cs="Times New Roman"/>
          <w:sz w:val="24"/>
          <w:szCs w:val="24"/>
        </w:rPr>
        <w:t>Имеев</w:t>
      </w:r>
      <w:proofErr w:type="spellEnd"/>
      <w:r w:rsidR="00686B97" w:rsidRPr="009064AB">
        <w:rPr>
          <w:rFonts w:ascii="Times New Roman" w:eastAsia="Calibri" w:hAnsi="Times New Roman" w:cs="Times New Roman"/>
          <w:sz w:val="24"/>
          <w:szCs w:val="24"/>
        </w:rPr>
        <w:t xml:space="preserve"> Михаил (БСОШ), Филиппова Арина, Семенова Варя (</w:t>
      </w:r>
      <w:proofErr w:type="spellStart"/>
      <w:r w:rsidR="00686B97" w:rsidRPr="009064AB">
        <w:rPr>
          <w:rFonts w:ascii="Times New Roman" w:eastAsia="Calibri" w:hAnsi="Times New Roman" w:cs="Times New Roman"/>
          <w:sz w:val="24"/>
          <w:szCs w:val="24"/>
        </w:rPr>
        <w:t>Атамайская</w:t>
      </w:r>
      <w:proofErr w:type="spellEnd"/>
      <w:r w:rsidR="00686B97" w:rsidRPr="009064AB">
        <w:rPr>
          <w:rFonts w:ascii="Times New Roman" w:eastAsia="Calibri" w:hAnsi="Times New Roman" w:cs="Times New Roman"/>
          <w:sz w:val="24"/>
          <w:szCs w:val="24"/>
        </w:rPr>
        <w:t xml:space="preserve"> СОШ), Дьяконова </w:t>
      </w:r>
      <w:proofErr w:type="spellStart"/>
      <w:r w:rsidR="00686B97" w:rsidRPr="009064AB">
        <w:rPr>
          <w:rFonts w:ascii="Times New Roman" w:eastAsia="Calibri" w:hAnsi="Times New Roman" w:cs="Times New Roman"/>
          <w:sz w:val="24"/>
          <w:szCs w:val="24"/>
        </w:rPr>
        <w:t>Куннэй</w:t>
      </w:r>
      <w:proofErr w:type="spellEnd"/>
      <w:r w:rsidR="00686B97" w:rsidRPr="009064AB">
        <w:rPr>
          <w:rFonts w:ascii="Times New Roman" w:eastAsia="Calibri" w:hAnsi="Times New Roman" w:cs="Times New Roman"/>
          <w:sz w:val="24"/>
          <w:szCs w:val="24"/>
        </w:rPr>
        <w:t>, Татари</w:t>
      </w:r>
      <w:r w:rsidR="00991C0F" w:rsidRPr="009064AB">
        <w:rPr>
          <w:rFonts w:ascii="Times New Roman" w:eastAsia="Calibri" w:hAnsi="Times New Roman" w:cs="Times New Roman"/>
          <w:sz w:val="24"/>
          <w:szCs w:val="24"/>
        </w:rPr>
        <w:t>нова Селена (</w:t>
      </w:r>
      <w:proofErr w:type="spellStart"/>
      <w:r w:rsidR="00991C0F" w:rsidRPr="009064AB">
        <w:rPr>
          <w:rFonts w:ascii="Times New Roman" w:eastAsia="Calibri" w:hAnsi="Times New Roman" w:cs="Times New Roman"/>
          <w:sz w:val="24"/>
          <w:szCs w:val="24"/>
        </w:rPr>
        <w:t>Бердигестяхская</w:t>
      </w:r>
      <w:proofErr w:type="spellEnd"/>
      <w:r w:rsidR="00991C0F" w:rsidRPr="009064AB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686B97" w:rsidRPr="00906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6B97" w:rsidRPr="009064AB">
        <w:rPr>
          <w:rFonts w:ascii="Times New Roman" w:eastAsia="Calibri" w:hAnsi="Times New Roman" w:cs="Times New Roman"/>
          <w:sz w:val="24"/>
          <w:szCs w:val="24"/>
        </w:rPr>
        <w:t>им.С.П</w:t>
      </w:r>
      <w:proofErr w:type="spellEnd"/>
      <w:r w:rsidR="00686B97" w:rsidRPr="009064AB">
        <w:rPr>
          <w:rFonts w:ascii="Times New Roman" w:eastAsia="Calibri" w:hAnsi="Times New Roman" w:cs="Times New Roman"/>
          <w:sz w:val="24"/>
          <w:szCs w:val="24"/>
        </w:rPr>
        <w:t xml:space="preserve">. Данилова), Ноговицын Сергей (ЦДО), Максимов Кеша, Андреев Семен (БСОШ), Александров </w:t>
      </w:r>
      <w:proofErr w:type="spellStart"/>
      <w:r w:rsidR="00686B97" w:rsidRPr="009064AB">
        <w:rPr>
          <w:rFonts w:ascii="Times New Roman" w:eastAsia="Calibri" w:hAnsi="Times New Roman" w:cs="Times New Roman"/>
          <w:sz w:val="24"/>
          <w:szCs w:val="24"/>
        </w:rPr>
        <w:t>Айтал</w:t>
      </w:r>
      <w:proofErr w:type="spellEnd"/>
      <w:r w:rsidR="00686B97" w:rsidRPr="009064A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686B97" w:rsidRPr="009064AB">
        <w:rPr>
          <w:rFonts w:ascii="Times New Roman" w:eastAsia="Calibri" w:hAnsi="Times New Roman" w:cs="Times New Roman"/>
          <w:sz w:val="24"/>
          <w:szCs w:val="24"/>
        </w:rPr>
        <w:t>Магарасская</w:t>
      </w:r>
      <w:proofErr w:type="spellEnd"/>
      <w:r w:rsidR="00686B97" w:rsidRPr="009064AB">
        <w:rPr>
          <w:rFonts w:ascii="Times New Roman" w:eastAsia="Calibri" w:hAnsi="Times New Roman" w:cs="Times New Roman"/>
          <w:sz w:val="24"/>
          <w:szCs w:val="24"/>
        </w:rPr>
        <w:t xml:space="preserve"> СОШ) и </w:t>
      </w:r>
      <w:proofErr w:type="spellStart"/>
      <w:r w:rsidR="00686B97" w:rsidRPr="009064AB">
        <w:rPr>
          <w:rFonts w:ascii="Times New Roman" w:eastAsia="Calibri" w:hAnsi="Times New Roman" w:cs="Times New Roman"/>
          <w:sz w:val="24"/>
          <w:szCs w:val="24"/>
        </w:rPr>
        <w:t>Текеянова</w:t>
      </w:r>
      <w:proofErr w:type="spellEnd"/>
      <w:r w:rsidR="00991C0F" w:rsidRPr="009064AB">
        <w:rPr>
          <w:rFonts w:ascii="Times New Roman" w:eastAsia="Calibri" w:hAnsi="Times New Roman" w:cs="Times New Roman"/>
          <w:sz w:val="24"/>
          <w:szCs w:val="24"/>
        </w:rPr>
        <w:t xml:space="preserve"> Мая (</w:t>
      </w:r>
      <w:proofErr w:type="spellStart"/>
      <w:r w:rsidR="00991C0F" w:rsidRPr="009064AB">
        <w:rPr>
          <w:rFonts w:ascii="Times New Roman" w:eastAsia="Calibri" w:hAnsi="Times New Roman" w:cs="Times New Roman"/>
          <w:sz w:val="24"/>
          <w:szCs w:val="24"/>
        </w:rPr>
        <w:t>Магарасская</w:t>
      </w:r>
      <w:proofErr w:type="spellEnd"/>
      <w:r w:rsidR="00991C0F" w:rsidRPr="009064AB">
        <w:rPr>
          <w:rFonts w:ascii="Times New Roman" w:eastAsia="Calibri" w:hAnsi="Times New Roman" w:cs="Times New Roman"/>
          <w:sz w:val="24"/>
          <w:szCs w:val="24"/>
        </w:rPr>
        <w:t xml:space="preserve"> СОШ) рекомендованы во Всероссийские НПК в Москве, Санкт-Петербурге, Казани и Новосибирске. </w:t>
      </w:r>
    </w:p>
    <w:p w:rsidR="00991C0F" w:rsidRPr="009064AB" w:rsidRDefault="00991C0F" w:rsidP="00E372B9">
      <w:pPr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991C0F" w:rsidRPr="009064AB" w:rsidRDefault="00991C0F" w:rsidP="00E372B9">
      <w:pPr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E372B9" w:rsidRPr="009064AB" w:rsidRDefault="00E372B9" w:rsidP="00E372B9">
      <w:pPr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64AB">
        <w:rPr>
          <w:rFonts w:ascii="Times New Roman" w:eastAsia="Calibri" w:hAnsi="Times New Roman" w:cs="Times New Roman"/>
          <w:b/>
          <w:sz w:val="24"/>
          <w:szCs w:val="24"/>
          <w:lang w:val="sah-RU"/>
        </w:rPr>
        <w:t>Поступление в учебные заведения</w:t>
      </w:r>
    </w:p>
    <w:p w:rsidR="00C113B8" w:rsidRPr="009064AB" w:rsidRDefault="0084644E" w:rsidP="009E17B6">
      <w:pPr>
        <w:pStyle w:val="a3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064AB">
        <w:rPr>
          <w:rFonts w:ascii="Times New Roman" w:hAnsi="Times New Roman"/>
          <w:sz w:val="24"/>
          <w:szCs w:val="24"/>
        </w:rPr>
        <w:t xml:space="preserve">Общий процент поступления в </w:t>
      </w:r>
      <w:r w:rsidR="00991C0F" w:rsidRPr="009064AB">
        <w:rPr>
          <w:rFonts w:ascii="Times New Roman" w:hAnsi="Times New Roman"/>
          <w:sz w:val="24"/>
          <w:szCs w:val="24"/>
        </w:rPr>
        <w:t xml:space="preserve">2015 году в </w:t>
      </w:r>
      <w:r w:rsidRPr="009064AB">
        <w:rPr>
          <w:rFonts w:ascii="Times New Roman" w:hAnsi="Times New Roman"/>
          <w:sz w:val="24"/>
          <w:szCs w:val="24"/>
        </w:rPr>
        <w:t>профессиональн</w:t>
      </w:r>
      <w:r w:rsidR="00991C0F" w:rsidRPr="009064AB">
        <w:rPr>
          <w:rFonts w:ascii="Times New Roman" w:hAnsi="Times New Roman"/>
          <w:sz w:val="24"/>
          <w:szCs w:val="24"/>
        </w:rPr>
        <w:t>ые учебные заведения составил 96,5</w:t>
      </w:r>
      <w:r w:rsidRPr="009064AB">
        <w:rPr>
          <w:rFonts w:ascii="Times New Roman" w:hAnsi="Times New Roman"/>
          <w:sz w:val="24"/>
          <w:szCs w:val="24"/>
        </w:rPr>
        <w:t xml:space="preserve">%, в том числе, в высшие учебные заведения </w:t>
      </w:r>
      <w:r w:rsidR="00991C0F" w:rsidRPr="009064AB">
        <w:rPr>
          <w:rFonts w:ascii="Times New Roman" w:hAnsi="Times New Roman"/>
          <w:sz w:val="24"/>
          <w:szCs w:val="24"/>
        </w:rPr>
        <w:t>поступили 4</w:t>
      </w:r>
      <w:r w:rsidR="00EB009E" w:rsidRPr="009064AB">
        <w:rPr>
          <w:rFonts w:ascii="Times New Roman" w:hAnsi="Times New Roman"/>
          <w:sz w:val="24"/>
          <w:szCs w:val="24"/>
        </w:rPr>
        <w:t xml:space="preserve">2%, в средние – </w:t>
      </w:r>
      <w:r w:rsidR="00991C0F" w:rsidRPr="009064AB">
        <w:rPr>
          <w:rFonts w:ascii="Times New Roman" w:hAnsi="Times New Roman"/>
          <w:sz w:val="24"/>
          <w:szCs w:val="24"/>
        </w:rPr>
        <w:t>55</w:t>
      </w:r>
      <w:r w:rsidR="00EB009E" w:rsidRPr="009064AB">
        <w:rPr>
          <w:rFonts w:ascii="Times New Roman" w:hAnsi="Times New Roman"/>
          <w:sz w:val="24"/>
          <w:szCs w:val="24"/>
        </w:rPr>
        <w:t>% выпускников текущего года.</w:t>
      </w:r>
      <w:r w:rsidRPr="009064AB">
        <w:rPr>
          <w:rFonts w:ascii="Times New Roman" w:hAnsi="Times New Roman"/>
          <w:sz w:val="24"/>
          <w:szCs w:val="24"/>
        </w:rPr>
        <w:t xml:space="preserve"> </w:t>
      </w:r>
    </w:p>
    <w:p w:rsidR="009644BD" w:rsidRPr="009064AB" w:rsidRDefault="009644BD" w:rsidP="009E17B6">
      <w:pPr>
        <w:ind w:left="21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4AB"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                            </w:t>
      </w:r>
    </w:p>
    <w:tbl>
      <w:tblPr>
        <w:tblW w:w="73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525"/>
        <w:gridCol w:w="1418"/>
      </w:tblGrid>
      <w:tr w:rsidR="009644BD" w:rsidRPr="009064AB" w:rsidTr="001E120F">
        <w:trPr>
          <w:trHeight w:val="306"/>
        </w:trPr>
        <w:tc>
          <w:tcPr>
            <w:tcW w:w="2694" w:type="dxa"/>
            <w:vMerge w:val="restart"/>
          </w:tcPr>
          <w:p w:rsidR="009644BD" w:rsidRPr="009064AB" w:rsidRDefault="00991C0F" w:rsidP="00991C0F">
            <w:pPr>
              <w:ind w:left="601" w:firstLine="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МБО</w:t>
            </w:r>
            <w:r w:rsidR="009644BD" w:rsidRPr="009064AB">
              <w:rPr>
                <w:rFonts w:ascii="Times New Roman" w:hAnsi="Times New Roman" w:cs="Times New Roman"/>
                <w:b/>
                <w:sz w:val="24"/>
                <w:szCs w:val="24"/>
              </w:rPr>
              <w:t>У ДО</w:t>
            </w:r>
            <w:r w:rsidRPr="009064A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644" w:type="dxa"/>
            <w:gridSpan w:val="3"/>
          </w:tcPr>
          <w:p w:rsidR="009644BD" w:rsidRPr="009064AB" w:rsidRDefault="009644BD" w:rsidP="009E17B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AB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1D66CF" w:rsidRPr="009064AB" w:rsidTr="001E120F">
        <w:trPr>
          <w:trHeight w:val="285"/>
        </w:trPr>
        <w:tc>
          <w:tcPr>
            <w:tcW w:w="2694" w:type="dxa"/>
            <w:vMerge/>
          </w:tcPr>
          <w:p w:rsidR="001D66CF" w:rsidRPr="009064AB" w:rsidRDefault="001D66CF" w:rsidP="001D66C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D66CF" w:rsidRPr="009064AB" w:rsidRDefault="001E120F" w:rsidP="001E120F">
            <w:pPr>
              <w:ind w:firstLine="459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064AB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525" w:type="dxa"/>
          </w:tcPr>
          <w:p w:rsidR="001D66CF" w:rsidRPr="009064AB" w:rsidRDefault="001E120F" w:rsidP="001E120F">
            <w:pPr>
              <w:ind w:firstLine="459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064AB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418" w:type="dxa"/>
          </w:tcPr>
          <w:p w:rsidR="001D66CF" w:rsidRPr="009064AB" w:rsidRDefault="001E120F" w:rsidP="001E120F">
            <w:pPr>
              <w:ind w:firstLine="459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064AB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1D66CF" w:rsidRPr="009064AB" w:rsidTr="001E120F">
        <w:trPr>
          <w:trHeight w:val="285"/>
        </w:trPr>
        <w:tc>
          <w:tcPr>
            <w:tcW w:w="2694" w:type="dxa"/>
          </w:tcPr>
          <w:p w:rsidR="001D66CF" w:rsidRPr="009064AB" w:rsidRDefault="001E120F" w:rsidP="002B0A9C">
            <w:pPr>
              <w:ind w:left="743" w:right="601" w:hanging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64AB">
              <w:rPr>
                <w:rFonts w:ascii="Times New Roman" w:hAnsi="Times New Roman" w:cs="Times New Roman"/>
              </w:rPr>
              <w:t>МБ</w:t>
            </w:r>
            <w:r w:rsidR="002B0A9C" w:rsidRPr="009064AB">
              <w:rPr>
                <w:rFonts w:ascii="Times New Roman" w:hAnsi="Times New Roman" w:cs="Times New Roman"/>
              </w:rPr>
              <w:t xml:space="preserve">У </w:t>
            </w:r>
            <w:r w:rsidR="001D66CF" w:rsidRPr="009064AB">
              <w:rPr>
                <w:rFonts w:ascii="Times New Roman" w:hAnsi="Times New Roman" w:cs="Times New Roman"/>
              </w:rPr>
              <w:t>ДО «ДЮСШ»</w:t>
            </w:r>
          </w:p>
        </w:tc>
        <w:tc>
          <w:tcPr>
            <w:tcW w:w="1701" w:type="dxa"/>
          </w:tcPr>
          <w:p w:rsidR="001D66CF" w:rsidRPr="009064AB" w:rsidRDefault="001E120F" w:rsidP="001E120F">
            <w:pPr>
              <w:ind w:firstLine="601"/>
              <w:contextualSpacing/>
              <w:jc w:val="left"/>
              <w:rPr>
                <w:rFonts w:ascii="Times New Roman" w:hAnsi="Times New Roman" w:cs="Times New Roman"/>
                <w:color w:val="FF0000"/>
              </w:rPr>
            </w:pPr>
            <w:r w:rsidRPr="009064AB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525" w:type="dxa"/>
          </w:tcPr>
          <w:p w:rsidR="001D66CF" w:rsidRPr="009064AB" w:rsidRDefault="001E120F" w:rsidP="001E120F">
            <w:pPr>
              <w:ind w:firstLine="459"/>
              <w:contextualSpacing/>
              <w:jc w:val="left"/>
              <w:rPr>
                <w:rFonts w:ascii="Times New Roman" w:hAnsi="Times New Roman" w:cs="Times New Roman"/>
              </w:rPr>
            </w:pPr>
            <w:r w:rsidRPr="009064AB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418" w:type="dxa"/>
          </w:tcPr>
          <w:p w:rsidR="001D66CF" w:rsidRPr="009064AB" w:rsidRDefault="001E120F" w:rsidP="001E120F">
            <w:pPr>
              <w:ind w:firstLine="493"/>
              <w:contextualSpacing/>
              <w:jc w:val="left"/>
              <w:rPr>
                <w:rFonts w:ascii="Times New Roman" w:hAnsi="Times New Roman" w:cs="Times New Roman"/>
              </w:rPr>
            </w:pPr>
            <w:r w:rsidRPr="009064AB">
              <w:rPr>
                <w:rFonts w:ascii="Times New Roman" w:hAnsi="Times New Roman" w:cs="Times New Roman"/>
              </w:rPr>
              <w:t>481</w:t>
            </w:r>
          </w:p>
        </w:tc>
      </w:tr>
      <w:tr w:rsidR="001D66CF" w:rsidRPr="009064AB" w:rsidTr="001E120F">
        <w:trPr>
          <w:trHeight w:val="272"/>
        </w:trPr>
        <w:tc>
          <w:tcPr>
            <w:tcW w:w="2694" w:type="dxa"/>
          </w:tcPr>
          <w:p w:rsidR="001D66CF" w:rsidRPr="009064AB" w:rsidRDefault="001D66CF" w:rsidP="002B0A9C">
            <w:pPr>
              <w:ind w:firstLine="601"/>
              <w:contextualSpacing/>
              <w:jc w:val="both"/>
              <w:rPr>
                <w:rFonts w:ascii="Times New Roman" w:hAnsi="Times New Roman" w:cs="Times New Roman"/>
              </w:rPr>
            </w:pPr>
            <w:r w:rsidRPr="009064AB">
              <w:rPr>
                <w:rFonts w:ascii="Times New Roman" w:hAnsi="Times New Roman" w:cs="Times New Roman"/>
              </w:rPr>
              <w:t>МБУ ДО</w:t>
            </w:r>
            <w:r w:rsidR="001E120F" w:rsidRPr="009064AB">
              <w:rPr>
                <w:rFonts w:ascii="Times New Roman" w:hAnsi="Times New Roman" w:cs="Times New Roman"/>
              </w:rPr>
              <w:t xml:space="preserve"> «ЦДО</w:t>
            </w:r>
            <w:r w:rsidRPr="009064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D66CF" w:rsidRPr="009064AB" w:rsidRDefault="001E120F" w:rsidP="001E120F">
            <w:pPr>
              <w:ind w:firstLine="601"/>
              <w:contextualSpacing/>
              <w:jc w:val="left"/>
              <w:rPr>
                <w:rFonts w:ascii="Times New Roman" w:hAnsi="Times New Roman" w:cs="Times New Roman"/>
                <w:color w:val="FF0000"/>
              </w:rPr>
            </w:pPr>
            <w:r w:rsidRPr="009064AB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525" w:type="dxa"/>
          </w:tcPr>
          <w:p w:rsidR="001D66CF" w:rsidRPr="009064AB" w:rsidRDefault="001E120F" w:rsidP="001E120F">
            <w:pPr>
              <w:ind w:firstLine="459"/>
              <w:contextualSpacing/>
              <w:jc w:val="left"/>
              <w:rPr>
                <w:rFonts w:ascii="Times New Roman" w:hAnsi="Times New Roman" w:cs="Times New Roman"/>
              </w:rPr>
            </w:pPr>
            <w:r w:rsidRPr="009064AB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418" w:type="dxa"/>
          </w:tcPr>
          <w:p w:rsidR="001D66CF" w:rsidRPr="009064AB" w:rsidRDefault="001E120F" w:rsidP="001E120F">
            <w:pPr>
              <w:ind w:firstLine="493"/>
              <w:contextualSpacing/>
              <w:jc w:val="left"/>
              <w:rPr>
                <w:rFonts w:ascii="Times New Roman" w:hAnsi="Times New Roman" w:cs="Times New Roman"/>
              </w:rPr>
            </w:pPr>
            <w:r w:rsidRPr="009064AB">
              <w:rPr>
                <w:rFonts w:ascii="Times New Roman" w:hAnsi="Times New Roman" w:cs="Times New Roman"/>
              </w:rPr>
              <w:t>763</w:t>
            </w:r>
          </w:p>
        </w:tc>
      </w:tr>
      <w:tr w:rsidR="001D66CF" w:rsidRPr="009064AB" w:rsidTr="001E120F">
        <w:trPr>
          <w:trHeight w:val="223"/>
        </w:trPr>
        <w:tc>
          <w:tcPr>
            <w:tcW w:w="2694" w:type="dxa"/>
          </w:tcPr>
          <w:p w:rsidR="001D66CF" w:rsidRPr="009064AB" w:rsidRDefault="001D66CF" w:rsidP="001D66CF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064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1D66CF" w:rsidRPr="009064AB" w:rsidRDefault="001E120F" w:rsidP="001E120F">
            <w:pPr>
              <w:ind w:left="459" w:firstLine="142"/>
              <w:contextualSpacing/>
              <w:jc w:val="left"/>
              <w:rPr>
                <w:rFonts w:ascii="Times New Roman" w:hAnsi="Times New Roman" w:cs="Times New Roman"/>
              </w:rPr>
            </w:pPr>
            <w:r w:rsidRPr="009064AB">
              <w:rPr>
                <w:rFonts w:ascii="Times New Roman" w:hAnsi="Times New Roman" w:cs="Times New Roman"/>
              </w:rPr>
              <w:t>1265</w:t>
            </w:r>
            <w:r w:rsidR="001D66CF" w:rsidRPr="009064AB">
              <w:rPr>
                <w:rFonts w:ascii="Times New Roman" w:hAnsi="Times New Roman" w:cs="Times New Roman"/>
              </w:rPr>
              <w:t xml:space="preserve">  </w:t>
            </w:r>
            <w:r w:rsidRPr="009064AB">
              <w:rPr>
                <w:rFonts w:ascii="Times New Roman" w:hAnsi="Times New Roman" w:cs="Times New Roman"/>
              </w:rPr>
              <w:t xml:space="preserve">    </w:t>
            </w:r>
            <w:r w:rsidR="001D66CF" w:rsidRPr="009064AB">
              <w:rPr>
                <w:rFonts w:ascii="Times New Roman" w:hAnsi="Times New Roman" w:cs="Times New Roman"/>
              </w:rPr>
              <w:t>(</w:t>
            </w:r>
            <w:r w:rsidRPr="009064AB">
              <w:rPr>
                <w:rFonts w:ascii="Times New Roman" w:hAnsi="Times New Roman" w:cs="Times New Roman"/>
              </w:rPr>
              <w:t>63,4</w:t>
            </w:r>
            <w:r w:rsidR="001D66CF" w:rsidRPr="009064A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25" w:type="dxa"/>
          </w:tcPr>
          <w:p w:rsidR="001D66CF" w:rsidRPr="009064AB" w:rsidRDefault="001E120F" w:rsidP="001E120F">
            <w:pPr>
              <w:ind w:firstLine="459"/>
              <w:contextualSpacing/>
              <w:jc w:val="left"/>
              <w:rPr>
                <w:rFonts w:ascii="Times New Roman" w:hAnsi="Times New Roman" w:cs="Times New Roman"/>
              </w:rPr>
            </w:pPr>
            <w:r w:rsidRPr="009064AB">
              <w:rPr>
                <w:rFonts w:ascii="Times New Roman" w:hAnsi="Times New Roman" w:cs="Times New Roman"/>
              </w:rPr>
              <w:t>1252</w:t>
            </w:r>
          </w:p>
          <w:p w:rsidR="001E120F" w:rsidRPr="009064AB" w:rsidRDefault="001E120F" w:rsidP="001E120F">
            <w:pPr>
              <w:ind w:firstLine="317"/>
              <w:contextualSpacing/>
              <w:jc w:val="left"/>
              <w:rPr>
                <w:rFonts w:ascii="Times New Roman" w:hAnsi="Times New Roman" w:cs="Times New Roman"/>
              </w:rPr>
            </w:pPr>
            <w:r w:rsidRPr="009064AB">
              <w:rPr>
                <w:rFonts w:ascii="Times New Roman" w:hAnsi="Times New Roman" w:cs="Times New Roman"/>
              </w:rPr>
              <w:t>(64,2%)</w:t>
            </w:r>
          </w:p>
        </w:tc>
        <w:tc>
          <w:tcPr>
            <w:tcW w:w="1418" w:type="dxa"/>
          </w:tcPr>
          <w:p w:rsidR="00616353" w:rsidRPr="009064AB" w:rsidRDefault="001E120F" w:rsidP="001E120F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064AB">
              <w:rPr>
                <w:rFonts w:ascii="Times New Roman" w:hAnsi="Times New Roman" w:cs="Times New Roman"/>
              </w:rPr>
              <w:t xml:space="preserve">       1261</w:t>
            </w:r>
          </w:p>
          <w:p w:rsidR="001E120F" w:rsidRPr="009064AB" w:rsidRDefault="001E120F" w:rsidP="001E120F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064AB">
              <w:rPr>
                <w:rFonts w:ascii="Times New Roman" w:hAnsi="Times New Roman" w:cs="Times New Roman"/>
              </w:rPr>
              <w:t xml:space="preserve">    (63,7%)</w:t>
            </w:r>
          </w:p>
        </w:tc>
      </w:tr>
    </w:tbl>
    <w:p w:rsidR="009644BD" w:rsidRPr="009064AB" w:rsidRDefault="009644BD" w:rsidP="009E17B6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064AB">
        <w:rPr>
          <w:rFonts w:ascii="Times New Roman" w:hAnsi="Times New Roman" w:cs="Times New Roman"/>
          <w:bCs/>
          <w:color w:val="000000"/>
        </w:rPr>
        <w:t xml:space="preserve">  Увеличилось количество детей, посещающих </w:t>
      </w:r>
      <w:r w:rsidR="002B0A9C" w:rsidRPr="009064AB">
        <w:rPr>
          <w:rFonts w:ascii="Times New Roman" w:hAnsi="Times New Roman" w:cs="Times New Roman"/>
          <w:bCs/>
          <w:color w:val="000000"/>
        </w:rPr>
        <w:t xml:space="preserve">ЦДО. Это обусловлено тем, что увеличилось количество детей, занимающихся техническими видами, в школах с. Бердигестях созданы филиалы ЦДО по робототехнике. В ДЮСШ материально-техническое обеспечение стало лучше, и в этом учебном году прибыло несколько новых молодых тренеров, также на ее базе открылся филиал республиканской РДЮСШОР по трем видам спорта: стрельбе из лука, пистолета и вольной борьбе. </w:t>
      </w:r>
    </w:p>
    <w:p w:rsidR="009064AB" w:rsidRDefault="009064AB" w:rsidP="009E17B6">
      <w:pPr>
        <w:ind w:left="1415" w:firstLine="709"/>
        <w:contextualSpacing/>
        <w:jc w:val="both"/>
        <w:rPr>
          <w:rFonts w:ascii="Times New Roman" w:hAnsi="Times New Roman" w:cs="Times New Roman"/>
          <w:b/>
        </w:rPr>
      </w:pPr>
    </w:p>
    <w:p w:rsidR="007F34A9" w:rsidRPr="009064AB" w:rsidRDefault="007F34A9" w:rsidP="009E17B6">
      <w:pPr>
        <w:ind w:left="1415" w:firstLine="709"/>
        <w:contextualSpacing/>
        <w:jc w:val="both"/>
        <w:rPr>
          <w:rFonts w:ascii="Times New Roman" w:hAnsi="Times New Roman" w:cs="Times New Roman"/>
          <w:b/>
        </w:rPr>
      </w:pPr>
      <w:r w:rsidRPr="009064AB">
        <w:rPr>
          <w:rFonts w:ascii="Times New Roman" w:hAnsi="Times New Roman" w:cs="Times New Roman"/>
          <w:b/>
        </w:rPr>
        <w:t>Военно-патриотическое воспитание</w:t>
      </w:r>
    </w:p>
    <w:p w:rsidR="004005D7" w:rsidRPr="009064AB" w:rsidRDefault="007F34A9" w:rsidP="004005D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064AB">
        <w:rPr>
          <w:rFonts w:ascii="Times New Roman" w:hAnsi="Times New Roman" w:cs="Times New Roman"/>
        </w:rPr>
        <w:t>Опорной школой по военно-патриотическому воспитанию является МБОУ «Кировская средняя общеобразовательная школа». Руководителем военно-патриотического клуба «Сокол» является обладатель Гранта РФ Иванов Руслан Антонович. Команда «Сокол» является неизменным участником республиканских соревнований и входит в 6 лучших команд республики. Стало</w:t>
      </w:r>
      <w:r w:rsidR="006D05D1" w:rsidRPr="009064AB">
        <w:rPr>
          <w:rFonts w:ascii="Times New Roman" w:hAnsi="Times New Roman" w:cs="Times New Roman"/>
        </w:rPr>
        <w:t xml:space="preserve"> традицией ежегодное проведение</w:t>
      </w:r>
      <w:r w:rsidRPr="009064AB">
        <w:rPr>
          <w:rFonts w:ascii="Times New Roman" w:hAnsi="Times New Roman" w:cs="Times New Roman"/>
        </w:rPr>
        <w:t xml:space="preserve"> </w:t>
      </w:r>
      <w:proofErr w:type="spellStart"/>
      <w:r w:rsidRPr="009064AB">
        <w:rPr>
          <w:rFonts w:ascii="Times New Roman" w:hAnsi="Times New Roman" w:cs="Times New Roman"/>
        </w:rPr>
        <w:t>военно</w:t>
      </w:r>
      <w:proofErr w:type="spellEnd"/>
      <w:r w:rsidRPr="009064AB">
        <w:rPr>
          <w:rFonts w:ascii="Times New Roman" w:hAnsi="Times New Roman" w:cs="Times New Roman"/>
        </w:rPr>
        <w:t xml:space="preserve"> – спорти</w:t>
      </w:r>
      <w:r w:rsidR="001D66CF" w:rsidRPr="009064AB">
        <w:rPr>
          <w:rFonts w:ascii="Times New Roman" w:hAnsi="Times New Roman" w:cs="Times New Roman"/>
        </w:rPr>
        <w:t>вной игры «Снежный барс». В 2014</w:t>
      </w:r>
      <w:r w:rsidRPr="009064AB">
        <w:rPr>
          <w:rFonts w:ascii="Times New Roman" w:hAnsi="Times New Roman" w:cs="Times New Roman"/>
        </w:rPr>
        <w:t xml:space="preserve"> г. команда «Сокол» стала победителем республиканской военно-</w:t>
      </w:r>
      <w:r w:rsidR="001D66CF" w:rsidRPr="009064AB">
        <w:rPr>
          <w:rFonts w:ascii="Times New Roman" w:hAnsi="Times New Roman" w:cs="Times New Roman"/>
        </w:rPr>
        <w:t>спортивной игры «Снежный барс», участник всероссийского финала военно-патриотической игры «Победа».</w:t>
      </w:r>
      <w:r w:rsidR="004005D7" w:rsidRPr="009064AB">
        <w:rPr>
          <w:rFonts w:ascii="Times New Roman" w:hAnsi="Times New Roman" w:cs="Times New Roman"/>
        </w:rPr>
        <w:t xml:space="preserve"> Команда «Сокол» заняла почетное 7 место. В 2015 году завоевала третье место. </w:t>
      </w:r>
      <w:r w:rsidR="006D05D1" w:rsidRPr="009064AB">
        <w:rPr>
          <w:rFonts w:ascii="Times New Roman" w:hAnsi="Times New Roman" w:cs="Times New Roman"/>
        </w:rPr>
        <w:t xml:space="preserve">На </w:t>
      </w:r>
      <w:r w:rsidR="006D05D1" w:rsidRPr="009064AB">
        <w:rPr>
          <w:rFonts w:ascii="Times New Roman" w:hAnsi="Times New Roman" w:cs="Times New Roman"/>
          <w:lang w:val="en-US"/>
        </w:rPr>
        <w:t>X</w:t>
      </w:r>
      <w:r w:rsidR="006D05D1" w:rsidRPr="009064AB">
        <w:rPr>
          <w:rFonts w:ascii="Times New Roman" w:hAnsi="Times New Roman" w:cs="Times New Roman"/>
        </w:rPr>
        <w:t xml:space="preserve"> республиканской военно-спортивной игре «Защитник Отечества» команда «Сокол-1» заняла 3 место.  </w:t>
      </w:r>
    </w:p>
    <w:sectPr w:rsidR="004005D7" w:rsidRPr="009064AB" w:rsidSect="00D26A23">
      <w:pgSz w:w="16838" w:h="11906" w:orient="landscape"/>
      <w:pgMar w:top="709" w:right="536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18CF"/>
    <w:multiLevelType w:val="hybridMultilevel"/>
    <w:tmpl w:val="D592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52FA8"/>
    <w:multiLevelType w:val="hybridMultilevel"/>
    <w:tmpl w:val="ECFC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B3A6F"/>
    <w:multiLevelType w:val="hybridMultilevel"/>
    <w:tmpl w:val="DF64BA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7415C"/>
    <w:multiLevelType w:val="hybridMultilevel"/>
    <w:tmpl w:val="59069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CD7934"/>
    <w:multiLevelType w:val="hybridMultilevel"/>
    <w:tmpl w:val="5B00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A79D1"/>
    <w:multiLevelType w:val="hybridMultilevel"/>
    <w:tmpl w:val="A372C97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00A1BB5"/>
    <w:multiLevelType w:val="hybridMultilevel"/>
    <w:tmpl w:val="4FE21FF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6D43617E"/>
    <w:multiLevelType w:val="hybridMultilevel"/>
    <w:tmpl w:val="984AF61A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6E4C2AF3"/>
    <w:multiLevelType w:val="hybridMultilevel"/>
    <w:tmpl w:val="FB8E0872"/>
    <w:lvl w:ilvl="0" w:tplc="BF6E7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C359DC"/>
    <w:multiLevelType w:val="hybridMultilevel"/>
    <w:tmpl w:val="C6902C08"/>
    <w:lvl w:ilvl="0" w:tplc="B62072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A9"/>
    <w:rsid w:val="000669AB"/>
    <w:rsid w:val="000709A9"/>
    <w:rsid w:val="000A4FE6"/>
    <w:rsid w:val="000B2FF8"/>
    <w:rsid w:val="000B4B63"/>
    <w:rsid w:val="000C644F"/>
    <w:rsid w:val="000D1244"/>
    <w:rsid w:val="00126306"/>
    <w:rsid w:val="001421A1"/>
    <w:rsid w:val="001655AC"/>
    <w:rsid w:val="00172EDD"/>
    <w:rsid w:val="00187288"/>
    <w:rsid w:val="001954DF"/>
    <w:rsid w:val="001B39C8"/>
    <w:rsid w:val="001B62EC"/>
    <w:rsid w:val="001C3FD1"/>
    <w:rsid w:val="001C7B10"/>
    <w:rsid w:val="001D66CF"/>
    <w:rsid w:val="001E120F"/>
    <w:rsid w:val="001E574C"/>
    <w:rsid w:val="00226A6A"/>
    <w:rsid w:val="002313E4"/>
    <w:rsid w:val="002444E2"/>
    <w:rsid w:val="002A244C"/>
    <w:rsid w:val="002B0A9C"/>
    <w:rsid w:val="002E51DA"/>
    <w:rsid w:val="002F16FD"/>
    <w:rsid w:val="003103C2"/>
    <w:rsid w:val="00336976"/>
    <w:rsid w:val="00340253"/>
    <w:rsid w:val="003A78E6"/>
    <w:rsid w:val="003B26FD"/>
    <w:rsid w:val="003B50FF"/>
    <w:rsid w:val="003C3D3D"/>
    <w:rsid w:val="003E02E7"/>
    <w:rsid w:val="003F529B"/>
    <w:rsid w:val="004005D7"/>
    <w:rsid w:val="00420D19"/>
    <w:rsid w:val="004400BD"/>
    <w:rsid w:val="0045365B"/>
    <w:rsid w:val="00470986"/>
    <w:rsid w:val="004B460A"/>
    <w:rsid w:val="004B5883"/>
    <w:rsid w:val="004D1D48"/>
    <w:rsid w:val="004E244D"/>
    <w:rsid w:val="00504822"/>
    <w:rsid w:val="00530740"/>
    <w:rsid w:val="005904A8"/>
    <w:rsid w:val="00592EAF"/>
    <w:rsid w:val="005A5561"/>
    <w:rsid w:val="005A6D27"/>
    <w:rsid w:val="005A7758"/>
    <w:rsid w:val="005C6678"/>
    <w:rsid w:val="00600AC3"/>
    <w:rsid w:val="00611E6C"/>
    <w:rsid w:val="00616353"/>
    <w:rsid w:val="0064370F"/>
    <w:rsid w:val="00672D35"/>
    <w:rsid w:val="0068540C"/>
    <w:rsid w:val="00686B97"/>
    <w:rsid w:val="006C18AE"/>
    <w:rsid w:val="006D05D1"/>
    <w:rsid w:val="006E2E42"/>
    <w:rsid w:val="006F5FC3"/>
    <w:rsid w:val="00734D8B"/>
    <w:rsid w:val="00736AF2"/>
    <w:rsid w:val="00737A0B"/>
    <w:rsid w:val="007416F2"/>
    <w:rsid w:val="0076338A"/>
    <w:rsid w:val="00793AC2"/>
    <w:rsid w:val="007A483E"/>
    <w:rsid w:val="007B48BB"/>
    <w:rsid w:val="007B5FEB"/>
    <w:rsid w:val="007E233F"/>
    <w:rsid w:val="007F34A9"/>
    <w:rsid w:val="0081233E"/>
    <w:rsid w:val="0084644E"/>
    <w:rsid w:val="008468A0"/>
    <w:rsid w:val="00855049"/>
    <w:rsid w:val="0087185F"/>
    <w:rsid w:val="009064AB"/>
    <w:rsid w:val="009644BD"/>
    <w:rsid w:val="009819DD"/>
    <w:rsid w:val="00991C0F"/>
    <w:rsid w:val="00991CCC"/>
    <w:rsid w:val="009B4695"/>
    <w:rsid w:val="009B7EE7"/>
    <w:rsid w:val="009E17B6"/>
    <w:rsid w:val="009F1C8B"/>
    <w:rsid w:val="009F6273"/>
    <w:rsid w:val="00A0574B"/>
    <w:rsid w:val="00A306A5"/>
    <w:rsid w:val="00A3576F"/>
    <w:rsid w:val="00A71509"/>
    <w:rsid w:val="00A7607D"/>
    <w:rsid w:val="00A93D21"/>
    <w:rsid w:val="00AA79D7"/>
    <w:rsid w:val="00AD308A"/>
    <w:rsid w:val="00AE42E7"/>
    <w:rsid w:val="00B408C2"/>
    <w:rsid w:val="00B5489D"/>
    <w:rsid w:val="00B555B6"/>
    <w:rsid w:val="00BF267C"/>
    <w:rsid w:val="00C113B8"/>
    <w:rsid w:val="00CA3059"/>
    <w:rsid w:val="00CA6F8B"/>
    <w:rsid w:val="00CD6DD0"/>
    <w:rsid w:val="00D0195B"/>
    <w:rsid w:val="00D07BAE"/>
    <w:rsid w:val="00D26A23"/>
    <w:rsid w:val="00D3318D"/>
    <w:rsid w:val="00D33F66"/>
    <w:rsid w:val="00D40D47"/>
    <w:rsid w:val="00D42DBA"/>
    <w:rsid w:val="00D62D79"/>
    <w:rsid w:val="00DB4E6E"/>
    <w:rsid w:val="00DC5430"/>
    <w:rsid w:val="00DF20FB"/>
    <w:rsid w:val="00E372B9"/>
    <w:rsid w:val="00E40C5E"/>
    <w:rsid w:val="00E44A89"/>
    <w:rsid w:val="00E465D5"/>
    <w:rsid w:val="00E51227"/>
    <w:rsid w:val="00E512A9"/>
    <w:rsid w:val="00EB009E"/>
    <w:rsid w:val="00EC06B2"/>
    <w:rsid w:val="00F85324"/>
    <w:rsid w:val="00F92CEE"/>
    <w:rsid w:val="00FB0351"/>
    <w:rsid w:val="00FC6042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06D58-F718-43A8-99F1-7DCF6E6F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09A9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1C8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D0195B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0195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B0351"/>
  </w:style>
  <w:style w:type="paragraph" w:styleId="a7">
    <w:name w:val="Balloon Text"/>
    <w:basedOn w:val="a"/>
    <w:link w:val="a8"/>
    <w:uiPriority w:val="99"/>
    <w:semiHidden/>
    <w:unhideWhenUsed/>
    <w:rsid w:val="006437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3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4EB1-4696-4EBB-9A84-72958C54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</dc:creator>
  <cp:lastModifiedBy>Алёна</cp:lastModifiedBy>
  <cp:revision>7</cp:revision>
  <cp:lastPrinted>2015-10-20T03:16:00Z</cp:lastPrinted>
  <dcterms:created xsi:type="dcterms:W3CDTF">2015-10-15T08:32:00Z</dcterms:created>
  <dcterms:modified xsi:type="dcterms:W3CDTF">2015-11-03T00:02:00Z</dcterms:modified>
</cp:coreProperties>
</file>